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b w:val="false"/>
          <w:bCs w:val="false"/>
          <w:i/>
          <w:iCs/>
          <w:sz w:val="22"/>
          <w:szCs w:val="22"/>
        </w:rPr>
        <w:t xml:space="preserve">Companion Resource — CR 5.3</w:t>
      </w:r>
    </w:p>
    <w:p>
      <w:pPr>
        <w:pStyle w:val="Heading1"/>
        <w:spacing w:after="160" w:before="240"/>
      </w:pPr>
      <w:r>
        <w:rPr>
          <w:b/>
          <w:bCs/>
          <w:color w:val="1F4E5F"/>
          <w:sz w:val="36"/>
          <w:szCs w:val="36"/>
        </w:rPr>
        <w:t xml:space="preserve">Workplace Accommodation Quick Guide</w:t>
      </w:r>
    </w:p>
    <w:p>
      <w:pPr>
        <w:pStyle w:val="Heading2"/>
        <w:spacing w:after="120" w:before="240"/>
      </w:pPr>
      <w:r>
        <w:rPr>
          <w:b/>
          <w:bCs/>
          <w:color w:val="2E6B5E"/>
          <w:sz w:val="24"/>
          <w:szCs w:val="24"/>
        </w:rPr>
        <w:t xml:space="preserve">Why This Matters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Many people living with dementia find it helpful to see examples of accommodations connected to specific challenges. This guide is intended to start a conversation, not prescribe a specific accommodation.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Every person's situation is different, and accommodations should always be individualized based on your job responsibilities, strengths, workplace environment, and the essential functions of your job.</w:t>
      </w:r>
    </w:p>
    <w:p>
      <w:pPr>
        <w:pStyle w:val="Heading2"/>
        <w:spacing w:after="120" w:before="240"/>
      </w:pPr>
      <w:r>
        <w:rPr>
          <w:b/>
          <w:bCs/>
          <w:color w:val="2E6B5E"/>
          <w:sz w:val="24"/>
          <w:szCs w:val="24"/>
        </w:rPr>
        <w:t xml:space="preserve">What You Need to Know</w:t>
      </w:r>
    </w:p>
    <w:p>
      <w:pPr>
        <w:spacing w:after="160"/>
      </w:pPr>
      <w:r>
        <w:rPr>
          <w:b/>
          <w:bCs/>
          <w:i w:val="false"/>
          <w:iCs w:val="false"/>
          <w:sz w:val="22"/>
          <w:szCs w:val="22"/>
        </w:rPr>
        <w:t xml:space="preserve">Examples of Cognitive Changes and Possible Workplace Accommodations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900"/>
      </w:tblGrid>
      <w:tr>
        <w:tc>
          <w:tcPr>
            <w:tcW w:type="dxa" w:w="4500"/>
            <w:shd w:fill="1F4E5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If you are experiencing…</w:t>
            </w:r>
          </w:p>
        </w:tc>
        <w:tc>
          <w:tcPr>
            <w:tcW w:type="dxa" w:w="4900"/>
            <w:shd w:fill="1F4E5F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You might consider discussing…</w:t>
            </w:r>
          </w:p>
        </w:tc>
      </w:tr>
      <w:tr>
        <w:tc>
          <w:tcPr>
            <w:tcW w:type="dxa" w:w="45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Word-finding or communication challenges</w:t>
            </w:r>
          </w:p>
        </w:tc>
        <w:tc>
          <w:tcPr>
            <w:tcW w:type="dxa" w:w="49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Written follow-up after meetings, agendas in advance, additional time to respond, one-on-one discussions</w:t>
            </w:r>
          </w:p>
        </w:tc>
      </w:tr>
      <w:tr>
        <w:tc>
          <w:tcPr>
            <w:tcW w:type="dxa" w:w="45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Memory changes</w:t>
            </w:r>
          </w:p>
        </w:tc>
        <w:tc>
          <w:tcPr>
            <w:tcW w:type="dxa" w:w="49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Checklists, written instructions, electronic reminders, calendars, notebooks</w:t>
            </w:r>
          </w:p>
        </w:tc>
      </w:tr>
      <w:tr>
        <w:tc>
          <w:tcPr>
            <w:tcW w:type="dxa" w:w="45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Difficulty concentrating</w:t>
            </w:r>
          </w:p>
        </w:tc>
        <w:tc>
          <w:tcPr>
            <w:tcW w:type="dxa" w:w="49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 quieter workspace, fewer interruptions, shorter meetings, scheduled focus time</w:t>
            </w:r>
          </w:p>
        </w:tc>
      </w:tr>
      <w:tr>
        <w:tc>
          <w:tcPr>
            <w:tcW w:type="dxa" w:w="45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Visual-spatial challenges</w:t>
            </w:r>
          </w:p>
        </w:tc>
        <w:tc>
          <w:tcPr>
            <w:tcW w:type="dxa" w:w="49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Improved lighting, clearly labeled work areas, a simplified workspace</w:t>
            </w:r>
          </w:p>
        </w:tc>
      </w:tr>
      <w:tr>
        <w:tc>
          <w:tcPr>
            <w:tcW w:type="dxa" w:w="45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Mental fatigue</w:t>
            </w:r>
          </w:p>
        </w:tc>
        <w:tc>
          <w:tcPr>
            <w:tcW w:type="dxa" w:w="49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Flexible scheduling, additional breaks, more demanding tasks earlier in the day</w:t>
            </w:r>
          </w:p>
        </w:tc>
      </w:tr>
      <w:tr>
        <w:tc>
          <w:tcPr>
            <w:tcW w:type="dxa" w:w="45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Difficulty multitasking</w:t>
            </w:r>
          </w:p>
        </w:tc>
        <w:tc>
          <w:tcPr>
            <w:tcW w:type="dxa" w:w="49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One task at a time, prioritized assignments, reduced interruptions</w:t>
            </w:r>
          </w:p>
        </w:tc>
      </w:tr>
      <w:tr>
        <w:tc>
          <w:tcPr>
            <w:tcW w:type="dxa" w:w="45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Slower information processing</w:t>
            </w:r>
          </w:p>
        </w:tc>
        <w:tc>
          <w:tcPr>
            <w:tcW w:type="dxa" w:w="49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Additional time to learn new tasks, written instructions, one-on-one training</w:t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60"/>
      </w:pPr>
      <w:r>
        <w:rPr>
          <w:b w:val="false"/>
          <w:bCs w:val="false"/>
          <w:i/>
          <w:iCs/>
          <w:sz w:val="22"/>
          <w:szCs w:val="22"/>
        </w:rPr>
        <w:t xml:space="preserve">These examples are intended to start a conversation — not prescribe a specific accommodation. The most effective accommodations are developed collaboratively and tailored to your individual needs, job responsibilities, and workplace.</w:t>
      </w:r>
    </w:p>
    <w:p>
      <w:pPr>
        <w:pStyle w:val="Heading2"/>
        <w:spacing w:after="120" w:before="240"/>
      </w:pPr>
      <w:r>
        <w:rPr>
          <w:b/>
          <w:bCs/>
          <w:color w:val="2E6B5E"/>
          <w:sz w:val="24"/>
          <w:szCs w:val="24"/>
        </w:rPr>
        <w:t xml:space="preserve">Take Action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Identify which row(s) reflect what you're experiencing.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Use the Workplace Accommodation Planning Worksheet to think through your own situation in more detail.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Bring this guide to your conversation with your employer or Human Resources representative.</w:t>
      </w:r>
    </w:p>
    <w:p>
      <w:pPr>
        <w:pStyle w:val="Heading2"/>
        <w:spacing w:after="120" w:before="240"/>
      </w:pPr>
      <w:r>
        <w:rPr>
          <w:b/>
          <w:bCs/>
          <w:color w:val="2E6B5E"/>
          <w:sz w:val="24"/>
          <w:szCs w:val="24"/>
        </w:rPr>
        <w:t xml:space="preserve">Questions to Ask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Which of these accommodations would be possible in my current role?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Is there a formal process for requesting one of these changes?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Can we try an accommodation and adjust it later if needed?</w:t>
      </w:r>
    </w:p>
    <w:p>
      <w:pPr>
        <w:pStyle w:val="Heading2"/>
        <w:spacing w:after="120" w:before="240"/>
      </w:pPr>
      <w:r>
        <w:rPr>
          <w:b/>
          <w:bCs/>
          <w:color w:val="2E6B5E"/>
          <w:sz w:val="24"/>
          <w:szCs w:val="24"/>
        </w:rPr>
        <w:t xml:space="preserve">Helpful Tips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Start with one or two accommodations rather than requesting everything at once.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Many of these accommodations cost little or nothing to put in place.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Revisit this guide periodically — your needs may change over time.</w:t>
      </w:r>
    </w:p>
    <w:p>
      <w:pPr>
        <w:pStyle w:val="Heading2"/>
        <w:spacing w:after="120" w:before="240"/>
      </w:pPr>
      <w:r>
        <w:rPr>
          <w:b/>
          <w:bCs/>
          <w:color w:val="2E6B5E"/>
          <w:sz w:val="24"/>
          <w:szCs w:val="24"/>
        </w:rPr>
        <w:t xml:space="preserve">Things to Consider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Every situation is different — this guide is a starting point, not a checklist to complete in full.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sz w:val="22"/>
          <w:szCs w:val="22"/>
        </w:rPr>
        <w:t xml:space="preserve">You may want to review these examples with your health care provider or a trusted advisor.</w:t>
      </w:r>
    </w:p>
    <w:p>
      <w:pPr>
        <w:pStyle w:val="Heading2"/>
        <w:spacing w:after="120" w:before="240"/>
      </w:pPr>
      <w:r>
        <w:rPr>
          <w:b/>
          <w:bCs/>
          <w:color w:val="2E6B5E"/>
          <w:sz w:val="24"/>
          <w:szCs w:val="24"/>
        </w:rPr>
        <w:t xml:space="preserve">Quick Reference</w:t>
      </w:r>
    </w:p>
    <w:p>
      <w:pPr>
        <w:spacing w:after="160"/>
      </w:pPr>
      <w:r>
        <w:rPr>
          <w:b/>
          <w:bCs/>
          <w:i w:val="false"/>
          <w:iCs w:val="false"/>
          <w:sz w:val="22"/>
          <w:szCs w:val="22"/>
        </w:rPr>
        <w:t xml:space="preserve">Remember: the goal of an accommodation is to help you keep doing your best work — not to change who you are or lower expectations of your abilities.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  <w:lvl w:ilvl="1" w15:tentative="1">
      <w:start w:val="1"/>
      <w:numFmt w:val="bullet"/>
      <w:lvlText w:val="◦"/>
      <w:lvlJc w:val="left"/>
      <w:pPr>
        <w:ind w:left="1008" w:hanging="288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2026-07-09T23:40:25.217Z</dcterms:created>
  <dcterms:modified xsi:type="dcterms:W3CDTF">2026-07-09T23:40:25.217Z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